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9C6FA" w14:textId="60AA1C47" w:rsidR="00D70433" w:rsidRPr="009421AB" w:rsidRDefault="00636EDB" w:rsidP="00906ABE">
      <w:pPr>
        <w:jc w:val="center"/>
        <w:rPr>
          <w:rFonts w:ascii="Calibri" w:hAnsi="Calibri" w:cstheme="minorHAnsi"/>
          <w:bCs/>
          <w:noProof/>
          <w:color w:val="17365D" w:themeColor="text2" w:themeShade="BF"/>
          <w:sz w:val="28"/>
          <w:szCs w:val="28"/>
          <w:u w:val="single"/>
          <w:lang w:val="en-GB" w:eastAsia="es-ES"/>
        </w:rPr>
      </w:pPr>
      <w:r>
        <w:rPr>
          <w:rFonts w:ascii="Calibri" w:hAnsi="Calibri" w:cstheme="minorHAnsi"/>
          <w:bCs/>
          <w:noProof/>
          <w:color w:val="17365D" w:themeColor="text2" w:themeShade="BF"/>
          <w:sz w:val="28"/>
          <w:szCs w:val="28"/>
          <w:u w:val="single"/>
          <w:lang w:val="en-GB" w:eastAsia="es-ES"/>
        </w:rPr>
        <w:t xml:space="preserve">The </w:t>
      </w:r>
      <w:r w:rsidR="002D747F">
        <w:rPr>
          <w:rFonts w:ascii="Calibri" w:hAnsi="Calibri" w:cstheme="minorHAnsi"/>
          <w:bCs/>
          <w:noProof/>
          <w:color w:val="17365D" w:themeColor="text2" w:themeShade="BF"/>
          <w:sz w:val="28"/>
          <w:szCs w:val="28"/>
          <w:u w:val="single"/>
          <w:lang w:val="en-GB" w:eastAsia="es-ES"/>
        </w:rPr>
        <w:t xml:space="preserve">Social &amp; Creative Community </w:t>
      </w:r>
      <w:r w:rsidR="009B2214">
        <w:rPr>
          <w:rFonts w:ascii="Calibri" w:hAnsi="Calibri" w:cstheme="minorHAnsi"/>
          <w:bCs/>
          <w:noProof/>
          <w:color w:val="17365D" w:themeColor="text2" w:themeShade="BF"/>
          <w:sz w:val="28"/>
          <w:szCs w:val="28"/>
          <w:u w:val="single"/>
          <w:lang w:val="en-GB" w:eastAsia="es-ES"/>
        </w:rPr>
        <w:t>gathering in Medjugorje, Bosnia and Herzegovina</w:t>
      </w:r>
    </w:p>
    <w:p w14:paraId="6DDC293D" w14:textId="77777777" w:rsidR="009B2214" w:rsidRPr="009B2214" w:rsidRDefault="00906ABE" w:rsidP="009B2214">
      <w:pPr>
        <w:jc w:val="center"/>
        <w:rPr>
          <w:rFonts w:ascii="Calibri" w:hAnsi="Calibri" w:cstheme="minorHAnsi"/>
          <w:b/>
          <w:bCs/>
          <w:noProof/>
          <w:color w:val="17365D" w:themeColor="text2" w:themeShade="BF"/>
          <w:sz w:val="44"/>
          <w:szCs w:val="44"/>
          <w:lang w:val="en-GB" w:eastAsia="es-ES"/>
        </w:rPr>
      </w:pPr>
      <w:r>
        <w:rPr>
          <w:rFonts w:ascii="Calibri" w:hAnsi="Calibri" w:cstheme="minorHAnsi"/>
          <w:b/>
          <w:bCs/>
          <w:noProof/>
          <w:color w:val="17365D" w:themeColor="text2" w:themeShade="BF"/>
          <w:sz w:val="44"/>
          <w:szCs w:val="44"/>
          <w:lang w:val="en-GB" w:eastAsia="es-ES"/>
        </w:rPr>
        <w:t xml:space="preserve">TALIA International Seminar: </w:t>
      </w:r>
      <w:r w:rsidR="009B2214" w:rsidRPr="009B2214">
        <w:rPr>
          <w:rFonts w:ascii="Calibri" w:hAnsi="Calibri" w:cstheme="minorHAnsi"/>
          <w:b/>
          <w:bCs/>
          <w:noProof/>
          <w:color w:val="17365D" w:themeColor="text2" w:themeShade="BF"/>
          <w:sz w:val="44"/>
          <w:szCs w:val="44"/>
          <w:lang w:val="en-GB" w:eastAsia="es-ES"/>
        </w:rPr>
        <w:t>Mediterranean Diet</w:t>
      </w:r>
    </w:p>
    <w:p w14:paraId="6A8FF3A8" w14:textId="322702FF" w:rsidR="008F297D" w:rsidRDefault="009B2214" w:rsidP="009B2214">
      <w:pPr>
        <w:jc w:val="center"/>
        <w:rPr>
          <w:rFonts w:ascii="Calibri" w:hAnsi="Calibri" w:cstheme="minorHAnsi"/>
          <w:b/>
          <w:bCs/>
          <w:noProof/>
          <w:color w:val="17365D" w:themeColor="text2" w:themeShade="BF"/>
          <w:sz w:val="44"/>
          <w:szCs w:val="44"/>
          <w:lang w:val="en-GB" w:eastAsia="es-ES"/>
        </w:rPr>
      </w:pPr>
      <w:r w:rsidRPr="009B2214">
        <w:rPr>
          <w:rFonts w:ascii="Calibri" w:hAnsi="Calibri" w:cstheme="minorHAnsi"/>
          <w:b/>
          <w:bCs/>
          <w:noProof/>
          <w:color w:val="17365D" w:themeColor="text2" w:themeShade="BF"/>
          <w:sz w:val="44"/>
          <w:szCs w:val="44"/>
          <w:lang w:val="en-GB" w:eastAsia="es-ES"/>
        </w:rPr>
        <w:t>&amp; Creative Industries</w:t>
      </w:r>
    </w:p>
    <w:p w14:paraId="26148FD7" w14:textId="6F888CB0" w:rsidR="009B2214" w:rsidRDefault="009B2214" w:rsidP="009B2214">
      <w:pPr>
        <w:spacing w:after="0" w:line="240" w:lineRule="auto"/>
        <w:jc w:val="center"/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</w:pPr>
      <w:r w:rsidRPr="009B2214"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  <w:t>From Unesco World Heritage</w:t>
      </w:r>
      <w:r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  <w:t xml:space="preserve"> </w:t>
      </w:r>
      <w:r w:rsidRPr="009B2214"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  <w:t xml:space="preserve">for </w:t>
      </w:r>
      <w:r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  <w:t>Immaterial Culture to an</w:t>
      </w:r>
    </w:p>
    <w:p w14:paraId="1DAAB19A" w14:textId="7DDF0325" w:rsidR="009B2214" w:rsidRDefault="009B2214" w:rsidP="009B2214">
      <w:pPr>
        <w:spacing w:after="0" w:line="240" w:lineRule="auto"/>
        <w:jc w:val="center"/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</w:pPr>
      <w:r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  <w:t xml:space="preserve">Active </w:t>
      </w:r>
      <w:r w:rsidRPr="009B2214"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  <w:t>and Creative Sustainable Growth Factor</w:t>
      </w:r>
    </w:p>
    <w:p w14:paraId="648A2BA7" w14:textId="77777777" w:rsidR="009B2214" w:rsidRPr="009B2214" w:rsidRDefault="009B2214" w:rsidP="009B2214">
      <w:pPr>
        <w:spacing w:after="0" w:line="240" w:lineRule="auto"/>
        <w:jc w:val="center"/>
        <w:rPr>
          <w:rFonts w:ascii="Calibri" w:hAnsi="Calibri" w:cstheme="minorHAnsi"/>
          <w:b/>
          <w:bCs/>
          <w:noProof/>
          <w:color w:val="17365D" w:themeColor="text2" w:themeShade="BF"/>
          <w:sz w:val="24"/>
          <w:szCs w:val="24"/>
          <w:lang w:val="en-GB" w:eastAsia="es-ES"/>
        </w:rPr>
      </w:pPr>
    </w:p>
    <w:p w14:paraId="485C2F21" w14:textId="3575D0E4" w:rsidR="00736DAD" w:rsidRDefault="002D378A" w:rsidP="00D75AE8">
      <w:pPr>
        <w:jc w:val="both"/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</w:pPr>
      <w:r w:rsidRPr="009421AB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[</w:t>
      </w:r>
      <w:proofErr w:type="spellStart"/>
      <w:r w:rsidR="00ED68FE">
        <w:rPr>
          <w:rFonts w:ascii="Calibri" w:hAnsi="Calibri" w:cstheme="minorHAnsi"/>
          <w:b/>
          <w:color w:val="17365D" w:themeColor="text2" w:themeShade="BF"/>
          <w:shd w:val="clear" w:color="auto" w:fill="FFFFFF"/>
          <w:lang w:val="en-GB"/>
        </w:rPr>
        <w:t>Medj</w:t>
      </w:r>
      <w:r w:rsidR="002A3394">
        <w:rPr>
          <w:rFonts w:ascii="Calibri" w:hAnsi="Calibri" w:cstheme="minorHAnsi"/>
          <w:b/>
          <w:color w:val="17365D" w:themeColor="text2" w:themeShade="BF"/>
          <w:shd w:val="clear" w:color="auto" w:fill="FFFFFF"/>
          <w:lang w:val="en-GB"/>
        </w:rPr>
        <w:t>ugorje</w:t>
      </w:r>
      <w:proofErr w:type="spellEnd"/>
      <w:r w:rsidR="009250AE">
        <w:rPr>
          <w:rFonts w:ascii="Calibri" w:hAnsi="Calibri" w:cstheme="minorHAnsi"/>
          <w:b/>
          <w:color w:val="17365D" w:themeColor="text2" w:themeShade="BF"/>
          <w:shd w:val="clear" w:color="auto" w:fill="FFFFFF"/>
          <w:lang w:val="en-GB"/>
        </w:rPr>
        <w:t xml:space="preserve"> 12</w:t>
      </w:r>
      <w:r w:rsidR="009B2214" w:rsidRPr="009B2214">
        <w:rPr>
          <w:rFonts w:ascii="Calibri" w:hAnsi="Calibri" w:cstheme="minorHAnsi"/>
          <w:b/>
          <w:color w:val="17365D" w:themeColor="text2" w:themeShade="BF"/>
          <w:shd w:val="clear" w:color="auto" w:fill="FFFFFF"/>
          <w:vertAlign w:val="superscript"/>
          <w:lang w:val="en-GB"/>
        </w:rPr>
        <w:t>th</w:t>
      </w:r>
      <w:r w:rsidR="009B2214">
        <w:rPr>
          <w:rFonts w:ascii="Calibri" w:hAnsi="Calibri" w:cstheme="minorHAnsi"/>
          <w:b/>
          <w:color w:val="17365D" w:themeColor="text2" w:themeShade="BF"/>
          <w:shd w:val="clear" w:color="auto" w:fill="FFFFFF"/>
          <w:lang w:val="en-GB"/>
        </w:rPr>
        <w:t xml:space="preserve"> June 2019</w:t>
      </w:r>
      <w:r w:rsidRPr="009421AB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] </w:t>
      </w:r>
      <w:r w:rsidR="00D75AE8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–</w:t>
      </w:r>
      <w:r w:rsidRPr="009421AB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</w:t>
      </w:r>
      <w:r w:rsidR="009250AE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More than 60 participants, representatives of organizations, institutions and individuals, attended the International Seminar, dedicated to Mediterranean Diet and Creative industries. The event took place in </w:t>
      </w:r>
      <w:r w:rsidR="009250AE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Ethno village </w:t>
      </w:r>
      <w:r w:rsidR="009250AE" w:rsidRPr="009B2214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“</w:t>
      </w:r>
      <w:proofErr w:type="spellStart"/>
      <w:r w:rsidR="009250AE" w:rsidRPr="009B2214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Herceg</w:t>
      </w:r>
      <w:proofErr w:type="spellEnd"/>
      <w:r w:rsidR="009250AE" w:rsidRPr="009B2214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” (</w:t>
      </w:r>
      <w:hyperlink r:id="rId7" w:history="1">
        <w:r w:rsidR="009250AE" w:rsidRPr="004C4114">
          <w:rPr>
            <w:rStyle w:val="Hyperlink"/>
            <w:rFonts w:ascii="Calibri" w:hAnsi="Calibri" w:cstheme="minorHAnsi"/>
            <w:shd w:val="clear" w:color="auto" w:fill="FFFFFF"/>
            <w:lang w:val="en-GB"/>
          </w:rPr>
          <w:t>https://etno-herceg.com/en</w:t>
        </w:r>
      </w:hyperlink>
      <w:r w:rsidR="009250AE" w:rsidRPr="009B2214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) in </w:t>
      </w:r>
      <w:proofErr w:type="spellStart"/>
      <w:r w:rsidR="009250AE" w:rsidRPr="009B2214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Medjugorje</w:t>
      </w:r>
      <w:proofErr w:type="spellEnd"/>
      <w:r w:rsidR="009250AE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(Bosnia and Herzegovina)</w:t>
      </w:r>
      <w:r w:rsidR="009250AE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, </w:t>
      </w:r>
      <w:r w:rsidR="00AA42B2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organized by project TALIA in cooperation with project MD.NET</w:t>
      </w:r>
      <w:r w:rsidR="009250AE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, funded </w:t>
      </w:r>
      <w:r w:rsidR="00F24FF3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within </w:t>
      </w:r>
      <w:proofErr w:type="spellStart"/>
      <w:r w:rsidR="00F24FF3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Interreg</w:t>
      </w:r>
      <w:proofErr w:type="spellEnd"/>
      <w:r w:rsidR="00F24FF3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MED Program 2013 – 2020. </w:t>
      </w:r>
    </w:p>
    <w:p w14:paraId="649C95B3" w14:textId="1848D1C3" w:rsidR="00ED68FE" w:rsidRDefault="00736DAD" w:rsidP="00D75AE8">
      <w:pPr>
        <w:jc w:val="both"/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</w:pP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Event was dedicated to exploration of the correlation between 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the</w:t>
      </w:r>
      <w:r w:rsidRPr="00344EA7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UNESCO Food and Intangible heritage and the Social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</w:t>
      </w:r>
      <w:r w:rsidRPr="00344EA7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&amp;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</w:t>
      </w:r>
      <w:r w:rsidRPr="00344EA7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Creative vision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. </w:t>
      </w:r>
      <w:r w:rsidR="00AA42B2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After the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plenary </w:t>
      </w:r>
      <w:r w:rsidR="00AA42B2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part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, which has involved relevant speakers from the Mediterranean,</w:t>
      </w:r>
      <w:r w:rsidR="00AA42B2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the event included performance of interactive session involving all participants in discussion and exchange of information on the number of emerging development issues. R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elations between Foo</w:t>
      </w:r>
      <w:r w:rsidR="00AA42B2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d and Social Innovations are addressed, including the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analysis of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economic growth indicators and</w:t>
      </w:r>
      <w:r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potentials of Mediterranean diet model.</w:t>
      </w:r>
      <w:r w:rsidR="00ED68FE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Collected information will be the subject of further analysis, which will be conducted b</w:t>
      </w:r>
      <w:r w:rsidR="00415AC9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y TALIA project, in order to define relevant conclusion and streamlines for action</w:t>
      </w:r>
      <w:r w:rsidR="00926B31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>s</w:t>
      </w:r>
      <w:r w:rsidR="00415AC9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in the near future.</w:t>
      </w:r>
      <w:r w:rsidR="00ED68FE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</w:t>
      </w:r>
    </w:p>
    <w:p w14:paraId="1AA85436" w14:textId="20762ACC" w:rsidR="00736DAD" w:rsidRDefault="00ED68FE" w:rsidP="00D75AE8">
      <w:pPr>
        <w:jc w:val="both"/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</w:pPr>
      <w:r w:rsidRPr="00344EA7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Creativity and social innovation are the enabling forces for prosperity and well-being in the MED space, in line with EU 2020 as well as the specific potentials of the Mediterranean itself. This in a context of territorial innovation where innovation is built on the territorial capital specific to a given place or the Mediterranean as a whole. </w:t>
      </w:r>
      <w:r w:rsidR="00736DAD">
        <w:rPr>
          <w:rFonts w:ascii="Calibri" w:hAnsi="Calibri" w:cstheme="minorHAnsi"/>
          <w:color w:val="17365D" w:themeColor="text2" w:themeShade="BF"/>
          <w:shd w:val="clear" w:color="auto" w:fill="FFFFFF"/>
          <w:lang w:val="en-GB"/>
        </w:rPr>
        <w:t xml:space="preserve">  </w:t>
      </w:r>
      <w:bookmarkStart w:id="0" w:name="_GoBack"/>
      <w:bookmarkEnd w:id="0"/>
    </w:p>
    <w:p w14:paraId="7C841305" w14:textId="31D74AD0" w:rsidR="003E7A46" w:rsidRPr="009421AB" w:rsidRDefault="003E7A46" w:rsidP="00084BD4">
      <w:pPr>
        <w:jc w:val="both"/>
        <w:rPr>
          <w:rFonts w:ascii="Calibri" w:hAnsi="Calibri" w:cstheme="minorHAnsi"/>
          <w:b/>
          <w:i/>
          <w:color w:val="17365D" w:themeColor="text2" w:themeShade="BF"/>
          <w:shd w:val="clear" w:color="auto" w:fill="FFFFFF"/>
          <w:lang w:val="en-GB"/>
        </w:rPr>
      </w:pPr>
      <w:r w:rsidRPr="009421AB">
        <w:rPr>
          <w:rFonts w:ascii="Calibri" w:hAnsi="Calibri" w:cstheme="minorHAnsi"/>
          <w:b/>
          <w:i/>
          <w:color w:val="17365D" w:themeColor="text2" w:themeShade="BF"/>
          <w:shd w:val="clear" w:color="auto" w:fill="FFFFFF"/>
          <w:lang w:val="en-GB"/>
        </w:rPr>
        <w:t xml:space="preserve">What is the </w:t>
      </w:r>
      <w:proofErr w:type="spellStart"/>
      <w:r w:rsidRPr="009421AB">
        <w:rPr>
          <w:rFonts w:ascii="Calibri" w:hAnsi="Calibri" w:cstheme="minorHAnsi"/>
          <w:b/>
          <w:i/>
          <w:color w:val="17365D" w:themeColor="text2" w:themeShade="BF"/>
          <w:shd w:val="clear" w:color="auto" w:fill="FFFFFF"/>
          <w:lang w:val="en-GB"/>
        </w:rPr>
        <w:t>Social&amp;Creative</w:t>
      </w:r>
      <w:proofErr w:type="spellEnd"/>
      <w:r w:rsidRPr="009421AB">
        <w:rPr>
          <w:rFonts w:ascii="Calibri" w:hAnsi="Calibri" w:cstheme="minorHAnsi"/>
          <w:b/>
          <w:i/>
          <w:color w:val="17365D" w:themeColor="text2" w:themeShade="BF"/>
          <w:shd w:val="clear" w:color="auto" w:fill="FFFFFF"/>
          <w:lang w:val="en-GB"/>
        </w:rPr>
        <w:t xml:space="preserve"> </w:t>
      </w:r>
      <w:proofErr w:type="gramStart"/>
      <w:r w:rsidRPr="009421AB">
        <w:rPr>
          <w:rFonts w:ascii="Calibri" w:hAnsi="Calibri" w:cstheme="minorHAnsi"/>
          <w:b/>
          <w:i/>
          <w:color w:val="17365D" w:themeColor="text2" w:themeShade="BF"/>
          <w:shd w:val="clear" w:color="auto" w:fill="FFFFFF"/>
          <w:lang w:val="en-GB"/>
        </w:rPr>
        <w:t>community</w:t>
      </w:r>
      <w:proofErr w:type="gramEnd"/>
    </w:p>
    <w:p w14:paraId="51A28DC3" w14:textId="24359AD8" w:rsidR="00E77B6C" w:rsidRPr="009421AB" w:rsidRDefault="00E77B6C" w:rsidP="00084BD4">
      <w:pPr>
        <w:jc w:val="both"/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</w:pPr>
      <w:r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 xml:space="preserve">The Interreg MED Social &amp; Creative community aims at connecting social and creative innovators </w:t>
      </w:r>
      <w:r w:rsidR="00DB0820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in the Mediterranean to consoli</w:t>
      </w:r>
      <w:r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date and share new models of development. The community, led b</w:t>
      </w:r>
      <w:r w:rsidR="00DB0820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 xml:space="preserve">y TALIA </w:t>
      </w:r>
      <w:r w:rsidR="00344EA7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horizontal p</w:t>
      </w:r>
      <w:r w:rsidR="00DB0820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roject,</w:t>
      </w:r>
      <w:r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 xml:space="preserve"> promotes in a structured way the implementation and transferability of a number of modular projects results dealing with creativity and social innovation. </w:t>
      </w:r>
      <w:r w:rsidR="00643255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To</w:t>
      </w:r>
      <w:r w:rsidR="00084BD4"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 xml:space="preserve"> this </w:t>
      </w:r>
      <w:r w:rsidR="00643255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end</w:t>
      </w:r>
      <w:r w:rsidR="00084BD4"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, i</w:t>
      </w:r>
      <w:r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 xml:space="preserve">t provides </w:t>
      </w:r>
      <w:r w:rsidR="00084BD4"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common</w:t>
      </w:r>
      <w:r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 xml:space="preserve"> instruments that allow </w:t>
      </w:r>
      <w:r w:rsidR="00084BD4"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>the</w:t>
      </w:r>
      <w:r w:rsidRPr="009421AB">
        <w:rPr>
          <w:rFonts w:ascii="Calibri" w:hAnsi="Calibri" w:cstheme="minorHAnsi"/>
          <w:i/>
          <w:color w:val="17365D" w:themeColor="text2" w:themeShade="BF"/>
          <w:shd w:val="clear" w:color="auto" w:fill="FFFFFF"/>
          <w:lang w:val="en-GB"/>
        </w:rPr>
        <w:t xml:space="preserve"> modular projects to connect with local innovation communities, starting from the regions of participating partners.</w:t>
      </w:r>
    </w:p>
    <w:p w14:paraId="3A594EBE" w14:textId="77777777" w:rsidR="003E7A46" w:rsidRPr="009421AB" w:rsidRDefault="003E7A46" w:rsidP="00084BD4">
      <w:pPr>
        <w:jc w:val="both"/>
        <w:rPr>
          <w:rFonts w:ascii="Calibri" w:hAnsi="Calibri" w:cstheme="minorHAnsi"/>
          <w:b/>
          <w:color w:val="17365D" w:themeColor="text2" w:themeShade="BF"/>
          <w:shd w:val="clear" w:color="auto" w:fill="FFFFFF"/>
          <w:lang w:val="en-GB"/>
        </w:rPr>
      </w:pPr>
      <w:r w:rsidRPr="009421AB">
        <w:rPr>
          <w:rFonts w:ascii="Calibri" w:hAnsi="Calibri" w:cstheme="minorHAnsi"/>
          <w:b/>
          <w:color w:val="17365D" w:themeColor="text2" w:themeShade="BF"/>
          <w:shd w:val="clear" w:color="auto" w:fill="FFFFFF"/>
          <w:lang w:val="en-GB"/>
        </w:rPr>
        <w:t xml:space="preserve">For more information: </w:t>
      </w:r>
    </w:p>
    <w:p w14:paraId="1180F633" w14:textId="0211F651" w:rsidR="002F067D" w:rsidRPr="00423F0A" w:rsidRDefault="00E04E19" w:rsidP="002F067D">
      <w:pPr>
        <w:spacing w:after="0" w:line="240" w:lineRule="auto"/>
        <w:jc w:val="both"/>
        <w:rPr>
          <w:rFonts w:ascii="Calibri" w:hAnsi="Calibri" w:cstheme="minorHAnsi"/>
          <w:color w:val="17365D" w:themeColor="text2" w:themeShade="BF"/>
          <w:shd w:val="clear" w:color="auto" w:fill="FFFFFF"/>
          <w:lang w:val="en-US"/>
        </w:rPr>
      </w:pPr>
      <w:r>
        <w:rPr>
          <w:rFonts w:ascii="Calibri" w:hAnsi="Calibri" w:cstheme="minorHAnsi"/>
          <w:color w:val="17365D" w:themeColor="text2" w:themeShade="BF"/>
          <w:shd w:val="clear" w:color="auto" w:fill="FFFFFF"/>
          <w:lang w:val="en-US"/>
        </w:rPr>
        <w:t>Goran Rodic</w:t>
      </w:r>
    </w:p>
    <w:p w14:paraId="090BEE0C" w14:textId="406D39BB" w:rsidR="002F067D" w:rsidRPr="00423F0A" w:rsidRDefault="00E04E19" w:rsidP="002F067D">
      <w:pPr>
        <w:spacing w:after="0" w:line="240" w:lineRule="auto"/>
        <w:jc w:val="both"/>
        <w:rPr>
          <w:rFonts w:ascii="Calibri" w:hAnsi="Calibri" w:cstheme="minorHAnsi"/>
          <w:color w:val="17365D" w:themeColor="text2" w:themeShade="BF"/>
          <w:shd w:val="clear" w:color="auto" w:fill="FFFFFF"/>
          <w:lang w:val="en-US"/>
        </w:rPr>
      </w:pPr>
      <w:r>
        <w:rPr>
          <w:rFonts w:ascii="Calibri" w:hAnsi="Calibri" w:cstheme="minorHAnsi"/>
          <w:color w:val="17365D" w:themeColor="text2" w:themeShade="BF"/>
          <w:shd w:val="clear" w:color="auto" w:fill="FFFFFF"/>
          <w:lang w:val="en-US"/>
        </w:rPr>
        <w:t>Agency for Economic Development of City of Prijedor “PREDA-PD”</w:t>
      </w:r>
    </w:p>
    <w:p w14:paraId="140DE582" w14:textId="29C8F16A" w:rsidR="002F067D" w:rsidRPr="00C52364" w:rsidRDefault="00E04E19" w:rsidP="002F067D">
      <w:pPr>
        <w:spacing w:after="0" w:line="240" w:lineRule="auto"/>
        <w:jc w:val="both"/>
        <w:rPr>
          <w:rFonts w:ascii="Calibri" w:hAnsi="Calibri" w:cstheme="minorHAnsi"/>
          <w:color w:val="17365D" w:themeColor="text2" w:themeShade="BF"/>
          <w:shd w:val="clear" w:color="auto" w:fill="FFFFFF"/>
          <w:lang w:val="fr-FR"/>
        </w:rPr>
      </w:pPr>
      <w:r>
        <w:rPr>
          <w:rFonts w:ascii="Calibri" w:hAnsi="Calibri" w:cstheme="minorHAnsi"/>
          <w:color w:val="17365D" w:themeColor="text2" w:themeShade="BF"/>
          <w:shd w:val="clear" w:color="auto" w:fill="FFFFFF"/>
          <w:lang w:val="en-US"/>
        </w:rPr>
        <w:t xml:space="preserve">Aleja kozarskog odreda bb, 79101 Prijedor, RS, Bosnia and Herzegovina, +387 52 240 411, </w:t>
      </w:r>
      <w:hyperlink r:id="rId8" w:history="1">
        <w:r w:rsidRPr="004C4114">
          <w:rPr>
            <w:rStyle w:val="Hyperlink"/>
            <w:rFonts w:ascii="Calibri" w:hAnsi="Calibri" w:cstheme="minorHAnsi"/>
            <w:shd w:val="clear" w:color="auto" w:fill="FFFFFF"/>
            <w:lang w:val="en-US"/>
          </w:rPr>
          <w:t>goran.rodic@preda.rs.ba</w:t>
        </w:r>
      </w:hyperlink>
    </w:p>
    <w:p w14:paraId="4B633E1E" w14:textId="2E15FDFF" w:rsidR="008F297D" w:rsidRPr="00C52364" w:rsidRDefault="00FF50E9" w:rsidP="002C4876">
      <w:pPr>
        <w:spacing w:after="0" w:line="240" w:lineRule="auto"/>
        <w:jc w:val="both"/>
        <w:rPr>
          <w:rFonts w:ascii="Calibri" w:hAnsi="Calibri" w:cstheme="minorHAnsi"/>
          <w:b/>
          <w:color w:val="17365D" w:themeColor="text2" w:themeShade="BF"/>
          <w:shd w:val="clear" w:color="auto" w:fill="FFFFFF"/>
          <w:lang w:val="fr-FR"/>
        </w:rPr>
      </w:pPr>
      <w:hyperlink r:id="rId9" w:history="1">
        <w:r w:rsidR="00E04E19" w:rsidRPr="004C4114">
          <w:rPr>
            <w:rStyle w:val="Hyperlink"/>
            <w:rFonts w:ascii="Calibri" w:hAnsi="Calibri" w:cstheme="minorHAnsi"/>
            <w:b/>
            <w:shd w:val="clear" w:color="auto" w:fill="FFFFFF"/>
            <w:lang w:val="fr-FR"/>
          </w:rPr>
          <w:t>https://social-and-creative.interreg-med.eu</w:t>
        </w:r>
      </w:hyperlink>
      <w:r w:rsidR="00E04E19">
        <w:rPr>
          <w:rFonts w:ascii="Calibri" w:hAnsi="Calibri" w:cstheme="minorHAnsi"/>
          <w:b/>
          <w:color w:val="17365D" w:themeColor="text2" w:themeShade="BF"/>
          <w:shd w:val="clear" w:color="auto" w:fill="FFFFFF"/>
          <w:lang w:val="fr-FR"/>
        </w:rPr>
        <w:t xml:space="preserve"> </w:t>
      </w:r>
    </w:p>
    <w:sectPr w:rsidR="008F297D" w:rsidRPr="00C52364" w:rsidSect="00D70433">
      <w:headerReference w:type="even" r:id="rId10"/>
      <w:headerReference w:type="default" r:id="rId11"/>
      <w:footerReference w:type="default" r:id="rId12"/>
      <w:pgSz w:w="11906" w:h="16838"/>
      <w:pgMar w:top="1418" w:right="991" w:bottom="1418" w:left="993" w:header="164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5C1AC" w14:textId="77777777" w:rsidR="00FF50E9" w:rsidRDefault="00FF50E9" w:rsidP="00B028E8">
      <w:pPr>
        <w:spacing w:after="0" w:line="240" w:lineRule="auto"/>
      </w:pPr>
      <w:r>
        <w:separator/>
      </w:r>
    </w:p>
  </w:endnote>
  <w:endnote w:type="continuationSeparator" w:id="0">
    <w:p w14:paraId="39FAF31A" w14:textId="77777777" w:rsidR="00FF50E9" w:rsidRDefault="00FF50E9" w:rsidP="00B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F54EA" w14:textId="77777777" w:rsidR="00E77B6C" w:rsidRDefault="00E77B6C">
    <w:pPr>
      <w:pStyle w:val="Footer"/>
    </w:pPr>
    <w:r>
      <w:rPr>
        <w:noProof/>
        <w:lang w:val="sr-Latn-BA" w:eastAsia="sr-Latn-BA"/>
      </w:rPr>
      <w:drawing>
        <wp:anchor distT="0" distB="0" distL="114300" distR="114300" simplePos="0" relativeHeight="251659264" behindDoc="1" locked="0" layoutInCell="1" allowOverlap="1" wp14:anchorId="27B24072" wp14:editId="7C5F19BF">
          <wp:simplePos x="0" y="0"/>
          <wp:positionH relativeFrom="column">
            <wp:posOffset>-556127</wp:posOffset>
          </wp:positionH>
          <wp:positionV relativeFrom="paragraph">
            <wp:posOffset>-504309</wp:posOffset>
          </wp:positionV>
          <wp:extent cx="6666614" cy="786810"/>
          <wp:effectExtent l="0" t="0" r="0" b="0"/>
          <wp:wrapNone/>
          <wp:docPr id="5" name="4 Imagen" descr="footer-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tal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6614" cy="786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170CE" w14:textId="77777777" w:rsidR="00FF50E9" w:rsidRDefault="00FF50E9" w:rsidP="00B028E8">
      <w:pPr>
        <w:spacing w:after="0" w:line="240" w:lineRule="auto"/>
      </w:pPr>
      <w:r>
        <w:separator/>
      </w:r>
    </w:p>
  </w:footnote>
  <w:footnote w:type="continuationSeparator" w:id="0">
    <w:p w14:paraId="794BCF0D" w14:textId="77777777" w:rsidR="00FF50E9" w:rsidRDefault="00FF50E9" w:rsidP="00B0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8D81" w14:textId="77777777" w:rsidR="00E77B6C" w:rsidRDefault="00E77B6C"/>
  <w:p w14:paraId="12D86F7F" w14:textId="77777777" w:rsidR="00E77B6C" w:rsidRDefault="00E77B6C">
    <w:r>
      <w:t>NO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E1D5" w14:textId="77777777" w:rsidR="00E77B6C" w:rsidRDefault="00E77B6C">
    <w:pPr>
      <w:pStyle w:val="Header"/>
    </w:pPr>
    <w:r>
      <w:rPr>
        <w:noProof/>
        <w:lang w:val="sr-Latn-BA" w:eastAsia="sr-Latn-BA"/>
      </w:rPr>
      <w:drawing>
        <wp:anchor distT="0" distB="0" distL="114300" distR="114300" simplePos="0" relativeHeight="251662336" behindDoc="1" locked="0" layoutInCell="1" allowOverlap="1" wp14:anchorId="7B820B61" wp14:editId="46FB896A">
          <wp:simplePos x="0" y="0"/>
          <wp:positionH relativeFrom="column">
            <wp:posOffset>-407271</wp:posOffset>
          </wp:positionH>
          <wp:positionV relativeFrom="paragraph">
            <wp:posOffset>-629270</wp:posOffset>
          </wp:positionV>
          <wp:extent cx="7123814" cy="818707"/>
          <wp:effectExtent l="0" t="0" r="0" b="0"/>
          <wp:wrapNone/>
          <wp:docPr id="1" name="0 Imagen" descr="cabecera-talia-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-talia-N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3814" cy="818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1312" behindDoc="1" locked="0" layoutInCell="1" allowOverlap="1" wp14:anchorId="3AD3870B" wp14:editId="5FF07B2C">
          <wp:simplePos x="0" y="0"/>
          <wp:positionH relativeFrom="column">
            <wp:posOffset>-1632231</wp:posOffset>
          </wp:positionH>
          <wp:positionV relativeFrom="paragraph">
            <wp:posOffset>-1054573</wp:posOffset>
          </wp:positionV>
          <wp:extent cx="9645946" cy="212651"/>
          <wp:effectExtent l="19050" t="0" r="0" b="0"/>
          <wp:wrapNone/>
          <wp:docPr id="7" name="10 Imagen" descr="banda-color-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-color-tal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45946" cy="212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87735" w14:textId="77777777" w:rsidR="00E77B6C" w:rsidRDefault="00E77B6C" w:rsidP="00B028E8">
    <w:pPr>
      <w:pStyle w:val="Header"/>
      <w:tabs>
        <w:tab w:val="clear" w:pos="4252"/>
        <w:tab w:val="clear" w:pos="8504"/>
        <w:tab w:val="left" w:pos="30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E8"/>
    <w:rsid w:val="00020AA8"/>
    <w:rsid w:val="000312AA"/>
    <w:rsid w:val="0007645B"/>
    <w:rsid w:val="00084BD4"/>
    <w:rsid w:val="000A5E79"/>
    <w:rsid w:val="00130E7F"/>
    <w:rsid w:val="0016318B"/>
    <w:rsid w:val="00166F70"/>
    <w:rsid w:val="00172A39"/>
    <w:rsid w:val="00234B7D"/>
    <w:rsid w:val="00253D5C"/>
    <w:rsid w:val="00281544"/>
    <w:rsid w:val="002A3394"/>
    <w:rsid w:val="002C4876"/>
    <w:rsid w:val="002D378A"/>
    <w:rsid w:val="002D5FFA"/>
    <w:rsid w:val="002D747F"/>
    <w:rsid w:val="002F067D"/>
    <w:rsid w:val="003164FB"/>
    <w:rsid w:val="00344EA7"/>
    <w:rsid w:val="003A4AB8"/>
    <w:rsid w:val="003E7A46"/>
    <w:rsid w:val="00406414"/>
    <w:rsid w:val="00415AC9"/>
    <w:rsid w:val="00423F0A"/>
    <w:rsid w:val="00423FE6"/>
    <w:rsid w:val="00474AF5"/>
    <w:rsid w:val="004E4716"/>
    <w:rsid w:val="00500DFF"/>
    <w:rsid w:val="005057EA"/>
    <w:rsid w:val="00526B7D"/>
    <w:rsid w:val="0053684C"/>
    <w:rsid w:val="00552308"/>
    <w:rsid w:val="00576E6E"/>
    <w:rsid w:val="0058432E"/>
    <w:rsid w:val="005B7A2D"/>
    <w:rsid w:val="00635D96"/>
    <w:rsid w:val="00636EDB"/>
    <w:rsid w:val="00643255"/>
    <w:rsid w:val="006E1338"/>
    <w:rsid w:val="006E4448"/>
    <w:rsid w:val="00736DAD"/>
    <w:rsid w:val="007B2758"/>
    <w:rsid w:val="007D558D"/>
    <w:rsid w:val="00834783"/>
    <w:rsid w:val="00871ED8"/>
    <w:rsid w:val="008B1E77"/>
    <w:rsid w:val="008F297D"/>
    <w:rsid w:val="00906ABE"/>
    <w:rsid w:val="009250AE"/>
    <w:rsid w:val="00926B31"/>
    <w:rsid w:val="00935912"/>
    <w:rsid w:val="00940A86"/>
    <w:rsid w:val="009421AB"/>
    <w:rsid w:val="009B2214"/>
    <w:rsid w:val="009C04AB"/>
    <w:rsid w:val="00A0119A"/>
    <w:rsid w:val="00A61705"/>
    <w:rsid w:val="00A65B25"/>
    <w:rsid w:val="00A87963"/>
    <w:rsid w:val="00AA42B2"/>
    <w:rsid w:val="00AC5F25"/>
    <w:rsid w:val="00AD5BF5"/>
    <w:rsid w:val="00AE519D"/>
    <w:rsid w:val="00B028E8"/>
    <w:rsid w:val="00B0488B"/>
    <w:rsid w:val="00B35B13"/>
    <w:rsid w:val="00BB6AA0"/>
    <w:rsid w:val="00BC1A9B"/>
    <w:rsid w:val="00BC6B64"/>
    <w:rsid w:val="00BE5FBD"/>
    <w:rsid w:val="00C00576"/>
    <w:rsid w:val="00C01D23"/>
    <w:rsid w:val="00C52364"/>
    <w:rsid w:val="00C94057"/>
    <w:rsid w:val="00CB1D20"/>
    <w:rsid w:val="00CC5CB4"/>
    <w:rsid w:val="00D073D6"/>
    <w:rsid w:val="00D70433"/>
    <w:rsid w:val="00D75AE8"/>
    <w:rsid w:val="00DB0820"/>
    <w:rsid w:val="00DD7C42"/>
    <w:rsid w:val="00E04E19"/>
    <w:rsid w:val="00E25F1E"/>
    <w:rsid w:val="00E620B4"/>
    <w:rsid w:val="00E65FC5"/>
    <w:rsid w:val="00E77B6C"/>
    <w:rsid w:val="00E84C49"/>
    <w:rsid w:val="00ED68FE"/>
    <w:rsid w:val="00EE64C7"/>
    <w:rsid w:val="00F24FF3"/>
    <w:rsid w:val="00F67F8E"/>
    <w:rsid w:val="00F81BFF"/>
    <w:rsid w:val="00FB55E3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01ED5E"/>
  <w15:docId w15:val="{2AFC034C-A39A-9A44-A346-6CDB5D80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8"/>
  </w:style>
  <w:style w:type="paragraph" w:styleId="Footer">
    <w:name w:val="footer"/>
    <w:basedOn w:val="Normal"/>
    <w:link w:val="FooterChar"/>
    <w:uiPriority w:val="99"/>
    <w:unhideWhenUsed/>
    <w:rsid w:val="00B02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8"/>
  </w:style>
  <w:style w:type="paragraph" w:styleId="BalloonText">
    <w:name w:val="Balloon Text"/>
    <w:basedOn w:val="Normal"/>
    <w:link w:val="BalloonTextChar"/>
    <w:uiPriority w:val="99"/>
    <w:semiHidden/>
    <w:unhideWhenUsed/>
    <w:rsid w:val="00B0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028E8"/>
    <w:rPr>
      <w:b/>
      <w:bCs/>
    </w:rPr>
  </w:style>
  <w:style w:type="character" w:customStyle="1" w:styleId="apple-converted-space">
    <w:name w:val="apple-converted-space"/>
    <w:basedOn w:val="DefaultParagraphFont"/>
    <w:rsid w:val="00B028E8"/>
  </w:style>
  <w:style w:type="character" w:styleId="Hyperlink">
    <w:name w:val="Hyperlink"/>
    <w:basedOn w:val="DefaultParagraphFont"/>
    <w:uiPriority w:val="99"/>
    <w:unhideWhenUsed/>
    <w:rsid w:val="009B2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rodic@preda.rs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no-herceg.com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cial-and-creative.interreg-med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8547C-3AE3-4DEB-93B4-F0E712AA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Martos</dc:creator>
  <cp:lastModifiedBy>Goran R.</cp:lastModifiedBy>
  <cp:revision>6</cp:revision>
  <cp:lastPrinted>2016-11-03T16:29:00Z</cp:lastPrinted>
  <dcterms:created xsi:type="dcterms:W3CDTF">2019-06-14T10:01:00Z</dcterms:created>
  <dcterms:modified xsi:type="dcterms:W3CDTF">2019-06-14T11:06:00Z</dcterms:modified>
</cp:coreProperties>
</file>